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454" w:line="360" w:lineRule="auto"/>
        <w:jc w:val="center"/>
        <w:textAlignment w:val="center"/>
        <w:rPr>
          <w:rFonts w:ascii="Optima" w:hAnsi="Optima" w:cs="Optima"/>
          <w:color w:val="DA2028"/>
          <w:spacing w:val="5"/>
          <w:sz w:val="26"/>
          <w:szCs w:val="26"/>
        </w:rPr>
      </w:pPr>
      <w:r w:rsidRPr="00A06779">
        <w:rPr>
          <w:rFonts w:ascii="Optima" w:hAnsi="Optima" w:cs="Optima"/>
          <w:caps/>
          <w:color w:val="DA2028"/>
          <w:spacing w:val="5"/>
          <w:sz w:val="26"/>
          <w:szCs w:val="26"/>
        </w:rPr>
        <w:t>Lectio magistralis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360" w:line="360" w:lineRule="auto"/>
        <w:jc w:val="center"/>
        <w:textAlignment w:val="center"/>
        <w:rPr>
          <w:rFonts w:ascii="Optima" w:hAnsi="Optima" w:cs="Optima"/>
          <w:color w:val="000000"/>
          <w:spacing w:val="2"/>
          <w:sz w:val="24"/>
          <w:szCs w:val="24"/>
          <w:lang w:val="de-DE"/>
        </w:rPr>
      </w:pPr>
      <w:r w:rsidRPr="00A06779">
        <w:rPr>
          <w:rFonts w:ascii="Optima" w:hAnsi="Optima" w:cs="Optima"/>
          <w:color w:val="000000"/>
          <w:spacing w:val="2"/>
          <w:sz w:val="24"/>
          <w:szCs w:val="24"/>
          <w:lang w:val="de-DE"/>
        </w:rPr>
        <w:t xml:space="preserve"> Gerhard Ludwig Kardinal Müller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100" w:line="360" w:lineRule="auto"/>
        <w:jc w:val="center"/>
        <w:textAlignment w:val="center"/>
        <w:rPr>
          <w:rFonts w:ascii="Optima" w:hAnsi="Optima" w:cs="Optima"/>
          <w:color w:val="DA2028"/>
          <w:spacing w:val="16"/>
          <w:sz w:val="26"/>
          <w:szCs w:val="26"/>
        </w:rPr>
      </w:pP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100" w:line="360" w:lineRule="auto"/>
        <w:jc w:val="center"/>
        <w:textAlignment w:val="center"/>
        <w:rPr>
          <w:rFonts w:ascii="Optima" w:hAnsi="Optima" w:cs="Optima"/>
          <w:color w:val="DA2028"/>
          <w:spacing w:val="16"/>
          <w:sz w:val="26"/>
          <w:szCs w:val="26"/>
        </w:rPr>
      </w:pP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480" w:line="360" w:lineRule="auto"/>
        <w:jc w:val="center"/>
        <w:textAlignment w:val="center"/>
        <w:rPr>
          <w:rFonts w:ascii="Optima" w:hAnsi="Optima" w:cs="Optima"/>
          <w:color w:val="DA2028"/>
          <w:sz w:val="26"/>
          <w:szCs w:val="26"/>
        </w:rPr>
      </w:pPr>
      <w:r w:rsidRPr="00A06779">
        <w:rPr>
          <w:rFonts w:ascii="Optima" w:hAnsi="Optima" w:cs="Optima"/>
          <w:caps/>
          <w:color w:val="DA2028"/>
          <w:spacing w:val="13"/>
        </w:rPr>
        <w:t>uvod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Optima" w:hAnsi="Optima" w:cs="Optima"/>
          <w:i/>
          <w:iCs/>
          <w:color w:val="DA2028"/>
        </w:rPr>
      </w:pP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120" w:line="312" w:lineRule="auto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>Eminencijo,</w:t>
      </w:r>
      <w:r w:rsidRPr="00A06779">
        <w:rPr>
          <w:rFonts w:ascii="Minion Pro" w:hAnsi="Minion Pro" w:cs="Minion Pro"/>
          <w:color w:val="000000"/>
          <w:sz w:val="24"/>
          <w:szCs w:val="24"/>
        </w:rPr>
        <w:br/>
        <w:t>Rektore,</w:t>
      </w:r>
      <w:r w:rsidRPr="00A06779">
        <w:rPr>
          <w:rFonts w:ascii="Minion Pro" w:hAnsi="Minion Pro" w:cs="Minion Pro"/>
          <w:color w:val="000000"/>
          <w:sz w:val="24"/>
          <w:szCs w:val="24"/>
        </w:rPr>
        <w:br/>
        <w:t>Ekscelencije,</w:t>
      </w:r>
      <w:r w:rsidRPr="00A06779">
        <w:rPr>
          <w:rFonts w:ascii="Minion Pro" w:hAnsi="Minion Pro" w:cs="Minion Pro"/>
          <w:color w:val="000000"/>
          <w:sz w:val="24"/>
          <w:szCs w:val="24"/>
        </w:rPr>
        <w:br/>
        <w:t>poštovani profesori i docenti,</w:t>
      </w:r>
      <w:r w:rsidRPr="00A06779">
        <w:rPr>
          <w:rFonts w:ascii="Minion Pro" w:hAnsi="Minion Pro" w:cs="Minion Pro"/>
          <w:color w:val="000000"/>
          <w:sz w:val="24"/>
          <w:szCs w:val="24"/>
        </w:rPr>
        <w:br/>
        <w:t xml:space="preserve">napose moji dragi studenti </w:t>
      </w:r>
      <w:r w:rsidRPr="00A06779">
        <w:rPr>
          <w:rFonts w:ascii="Minion Pro" w:hAnsi="Minion Pro" w:cs="Minion Pro"/>
          <w:color w:val="000000"/>
          <w:sz w:val="24"/>
          <w:szCs w:val="24"/>
        </w:rPr>
        <w:br/>
        <w:t>Hrvatskoga katoličkog sveučilišta!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120" w:line="312" w:lineRule="auto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>Na desetu obljetnicu osnutka vašega Sveučilišta, odlučili ste mi iskazati veliku čast dodjelom počasnoga doktorata. Vaše Sveučilište s pet studija – poviješću, psihologijom, sociologijom, komunikologijom i sestrinstvom – ovom je čašću nagradilo jednog teologa.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12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>Ovom dodjelom svjedočite svoj katolički identitet, kršćansku sliku čovjeka i obrazovni ideal kako ste Vi, Eminencijo, utvrdili u dokumentu o osnutku od 3. lipnja 2006. s jasnim nazivom „</w:t>
      </w:r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Luce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vera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illuminata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>“, nadograđujući se na temeljne odrednice Apostolske konstitucije pape Ivana Pavla II.</w:t>
      </w:r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Ex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Corde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Ecclesiae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>.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12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>Katoličko je sveučilište mjesto istraživanja i nastave, na kojem su profesori i studenti okupljeni i povezani u istom stremljenju za znanošću. U Apostolskoj konstituciji sveti Ivan Pavao II. upućuje i na to da katoličko sveučilište ima posebno poslanje otvarati razmjenu među neiscrpnim bogatstvom Evanđelja Kristova i vrlo raznolikim ljudskim područjima znanja te na toj osnovi omogućiti Crkvi plodonosan dijalog sa svim ljudima svake kulture.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>U ovoj današnjoj svečanoj prigodi želim progovoriti o pitanju načela: Zašto, s obzirom na raznolikost univerzitetskih područja istraživanja, zapravo ne govorimo o „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multi</w:t>
      </w:r>
      <w:r w:rsidRPr="00A06779">
        <w:rPr>
          <w:rFonts w:ascii="Minion Pro" w:hAnsi="Minion Pro" w:cs="Minion Pro"/>
          <w:color w:val="000000"/>
          <w:sz w:val="24"/>
          <w:szCs w:val="24"/>
        </w:rPr>
        <w:t>verzitetu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>“, nego o „</w:t>
      </w:r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uni</w:t>
      </w:r>
      <w:r w:rsidRPr="00A06779">
        <w:rPr>
          <w:rFonts w:ascii="Minion Pro" w:hAnsi="Minion Pro" w:cs="Minion Pro"/>
          <w:color w:val="000000"/>
          <w:sz w:val="24"/>
          <w:szCs w:val="24"/>
        </w:rPr>
        <w:t>verzitetu“?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lastRenderedPageBreak/>
        <w:t xml:space="preserve">Tu pomaže kratak pogled u povijest. Institucija univerziteta ili sveučilišta, kakvu danas poznajemo, rođena je u kršćanskome srednjem vijeku, u materijalno, zapravo, siromašnom okružju. Velikom hrabrošću i univerzalnim duhom – dakle „katoličkim“ duhom u izvornom smislu te riječi – </w:t>
      </w:r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taj</w:t>
      </w: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je srednjovjekovni čovjek, koji je danas tako često napadan kao vječno nazadan, ali je većinom bio obilježen dubokim uvjerenjem o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ratio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divinae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sapientiae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,</w:t>
      </w: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oblikovao svoju potragu za istinom (potragu za </w:t>
      </w:r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jednom</w:t>
      </w: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istinom) na različitim fakultetima. Otpočetka, sveučilište je povezivalo različita područja znanja i studije kao „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universitas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scientiarum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>“ s predodžbom da je njihova zajednička osnova – onkraj njihovih praktičnih, tehničkih i ekonomskih ciljeva – jedna jedina istina, koja poziva sve ljude.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Samo je po sebi jasno da je svaka znanost već tada, dakle u vrijeme nastanka prvih sveučilišta, kao i danas, imala svoje vlastite ciljeve i metode, sa specifičnom svrhom da svojim vlastitim, osobitim doprinosom obogati i poboljša život ljudi. Naposljetku, sve su te znanosti bile koncipirane za službu </w:t>
      </w:r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jednoj</w:t>
      </w: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velikoj istini o čovjeku.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Ovdje pronalazimo temelje na početku spomenutih odrednica pape Ivana Pavla II., kao i obrazovni ideal Crkve koji trajno vrijedi. Stoga je i teologija na određeni način ključni dio, ona koja katoličkom sveučilištu daje smisao: „Misterij čovjeka postaje doista jasan jedino u misteriju utjelovljene Riječi“, podsjeća nas Drugi vatikanski koncil u svojoj Pastoralnoj konstituciji o Crkvi u suvremenome svijetu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Gaudium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et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Spes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(usp. </w:t>
      </w:r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GS</w:t>
      </w: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22).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>Ozbiljnošću znanstvenoga rada sveučilište danas, kao i u početnom razdoblju, pronalazi posljednje načelo jedinstva u čovjeku i njegova susreta s Bogom, s „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Lux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vera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>“, svjetlom istinskim: „Ne djelovati ‘</w:t>
      </w:r>
      <w:proofErr w:type="spellStart"/>
      <w:r w:rsidRPr="00A06779">
        <w:rPr>
          <w:rFonts w:ascii="Minion Pro" w:hAnsi="Minion Pro" w:cs="Minion Pro"/>
          <w:color w:val="000000"/>
          <w:sz w:val="24"/>
          <w:szCs w:val="24"/>
        </w:rPr>
        <w:t>logosom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’ protivi se Božjem biću“, naglasio je Benedikt XVI. u glasovitu govoru održanom 12. rujna 2006. na Sveučilištu u </w:t>
      </w:r>
      <w:proofErr w:type="spellStart"/>
      <w:r w:rsidRPr="00A06779">
        <w:rPr>
          <w:rFonts w:ascii="Minion Pro" w:hAnsi="Minion Pro" w:cs="Minion Pro"/>
          <w:color w:val="000000"/>
          <w:sz w:val="24"/>
          <w:szCs w:val="24"/>
        </w:rPr>
        <w:t>Regensburgu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>.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>Stoga su ova središta znanja, kao što je vaše zagrebačko Hrvatsko katoličko sveučilište, jednako tako te upravo danas toliko važna za vašu domovinu i za društvo općenito, ne samo u smislu obrazovanja budućih specijalista pojedinih struka.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Posebna mi je čast počasni doktorat primiti ovdje u Zagrebu, kao nasljednik u službi poštovana kardinala Franje </w:t>
      </w:r>
      <w:proofErr w:type="spellStart"/>
      <w:r w:rsidRPr="00A06779">
        <w:rPr>
          <w:rFonts w:ascii="Minion Pro" w:hAnsi="Minion Pro" w:cs="Minion Pro"/>
          <w:smallCaps/>
          <w:color w:val="000000"/>
          <w:sz w:val="24"/>
          <w:szCs w:val="24"/>
        </w:rPr>
        <w:t>Šepera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, koji je od 1968. do 1981., u vrlo burnom vremenu velikih filozofskih i teoloških promjena, bio prvi pravi prefekt Kongregacije za nauk vjere. Dotad je uvijek sâm papa vodio ovo središnje tijelo Rimske kurije, a kao prvi kardinal na položaju prefekta, Franjo </w:t>
      </w:r>
      <w:proofErr w:type="spellStart"/>
      <w:r w:rsidRPr="00A06779">
        <w:rPr>
          <w:rFonts w:ascii="Minion Pro" w:hAnsi="Minion Pro" w:cs="Minion Pro"/>
          <w:smallCaps/>
          <w:color w:val="000000"/>
          <w:sz w:val="24"/>
          <w:szCs w:val="24"/>
        </w:rPr>
        <w:t>Šeper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tu je svoju službu stavio sasvim pod „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lux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vera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“: o tome rječito svjedoče značajne izjave Kongregacije nastale u njegovo vrijeme. Neke od njih zaslužuju da ovdje budu izrijekom spomenute: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Mysterium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Filii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Dei</w:t>
      </w: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od 21. veljače 1972. o nekim pitanjima o otajstvu </w:t>
      </w:r>
      <w:r w:rsidRPr="00A06779">
        <w:rPr>
          <w:rFonts w:ascii="Minion Pro" w:hAnsi="Minion Pro" w:cs="Minion Pro"/>
          <w:color w:val="000000"/>
          <w:sz w:val="24"/>
          <w:szCs w:val="24"/>
        </w:rPr>
        <w:lastRenderedPageBreak/>
        <w:t xml:space="preserve">utjelovljenja i Presvetoga Trojstva;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Mysterium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Ecclesiae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od 24. lipnja 1973. o nekim pitanjima ekleziologije; </w:t>
      </w:r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Persona humana</w:t>
      </w: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od 29. prosinca 1975. o nekim pitanjima seksualne etike;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Recentiores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episcoporum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Synodi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od 17. svibnja 1979. o nekim pitanjima eshatologije, kao i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Iura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et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bona</w:t>
      </w: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od 5. svibnja 1980. o danas ponovno vrlo aktualnom pitanju eutanazije.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Sa zahvalnošću kardinalu Josipu </w:t>
      </w:r>
      <w:r w:rsidRPr="00A06779">
        <w:rPr>
          <w:rFonts w:ascii="Minion Pro" w:hAnsi="Minion Pro" w:cs="Minion Pro"/>
          <w:smallCaps/>
          <w:color w:val="000000"/>
          <w:sz w:val="24"/>
          <w:szCs w:val="24"/>
        </w:rPr>
        <w:t>Bozaniću</w:t>
      </w: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, nasljedniku kardinala </w:t>
      </w:r>
      <w:proofErr w:type="spellStart"/>
      <w:r w:rsidRPr="00A06779">
        <w:rPr>
          <w:rFonts w:ascii="Minion Pro" w:hAnsi="Minion Pro" w:cs="Minion Pro"/>
          <w:smallCaps/>
          <w:color w:val="000000"/>
          <w:sz w:val="24"/>
          <w:szCs w:val="24"/>
        </w:rPr>
        <w:t>Šepera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na mjestu zagrebačkoga nadbiskupa i Velikom kancelaru ovoga sveučilišta, ostaje mi želja za Vas, Rektore, kao i za sve profesore, nastavnike i studente ovoga sveučilišta, da u svojim znanstvenim </w:t>
      </w:r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težnjama</w:t>
      </w: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u različitim granama struke uvijek imate na umu taj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ujedinjujuć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izvor i </w:t>
      </w:r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jedan</w:t>
      </w:r>
      <w:r w:rsidRPr="00A06779">
        <w:rPr>
          <w:rFonts w:ascii="Minion Pro" w:hAnsi="Minion Pro" w:cs="Minion Pro"/>
          <w:color w:val="000000"/>
          <w:sz w:val="24"/>
          <w:szCs w:val="24"/>
        </w:rPr>
        <w:t xml:space="preserve"> cilj našega čovještva, kako bi tako u plodonosnom dijalogu sa svim ljudima svake kulture i jezika „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lux</w:t>
      </w:r>
      <w:proofErr w:type="spellEnd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 xml:space="preserve"> </w:t>
      </w:r>
      <w:proofErr w:type="spellStart"/>
      <w:r w:rsidRPr="00A06779">
        <w:rPr>
          <w:rFonts w:ascii="Minion Pro" w:hAnsi="Minion Pro" w:cs="Minion Pro"/>
          <w:i/>
          <w:iCs/>
          <w:color w:val="000000"/>
          <w:sz w:val="24"/>
          <w:szCs w:val="24"/>
        </w:rPr>
        <w:t>vera</w:t>
      </w:r>
      <w:proofErr w:type="spellEnd"/>
      <w:r w:rsidRPr="00A06779">
        <w:rPr>
          <w:rFonts w:ascii="Minion Pro" w:hAnsi="Minion Pro" w:cs="Minion Pro"/>
          <w:color w:val="000000"/>
          <w:sz w:val="24"/>
          <w:szCs w:val="24"/>
        </w:rPr>
        <w:t>“ – to svjetlo istinsko nanovo zapalili za ljude naših dana.</w:t>
      </w:r>
    </w:p>
    <w:p w:rsidR="00A06779" w:rsidRPr="00A06779" w:rsidRDefault="00A06779" w:rsidP="00A06779">
      <w:pPr>
        <w:suppressAutoHyphens/>
        <w:autoSpaceDE w:val="0"/>
        <w:autoSpaceDN w:val="0"/>
        <w:adjustRightInd w:val="0"/>
        <w:spacing w:after="14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000000"/>
          <w:sz w:val="24"/>
          <w:szCs w:val="24"/>
        </w:rPr>
        <w:t>Želeći Hrvatskom katoličkom sveučilištu obilne blagoslove od Boga, hvala lijepa svima vama.</w:t>
      </w:r>
    </w:p>
    <w:p w:rsidR="00A06779" w:rsidRPr="00A06779" w:rsidRDefault="00A06779" w:rsidP="00A06779">
      <w:pPr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  <w:lang w:val="de-DE"/>
        </w:rPr>
      </w:pPr>
    </w:p>
    <w:p w:rsidR="00A06779" w:rsidRPr="00A06779" w:rsidRDefault="00A06779" w:rsidP="00A06779">
      <w:pPr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Minion Pro" w:hAnsi="Minion Pro" w:cs="Minion Pro"/>
          <w:color w:val="000000"/>
          <w:sz w:val="24"/>
          <w:szCs w:val="24"/>
          <w:lang w:val="de-DE"/>
        </w:rPr>
      </w:pPr>
      <w:bookmarkStart w:id="0" w:name="_GoBack"/>
      <w:bookmarkEnd w:id="0"/>
    </w:p>
    <w:p w:rsidR="00A06779" w:rsidRPr="00A06779" w:rsidRDefault="00A06779" w:rsidP="00A06779">
      <w:pPr>
        <w:tabs>
          <w:tab w:val="left" w:pos="560"/>
        </w:tabs>
        <w:autoSpaceDE w:val="0"/>
        <w:autoSpaceDN w:val="0"/>
        <w:adjustRightInd w:val="0"/>
        <w:spacing w:before="80" w:after="0" w:line="312" w:lineRule="auto"/>
        <w:jc w:val="center"/>
        <w:textAlignment w:val="center"/>
        <w:rPr>
          <w:rFonts w:ascii="Minion Pro" w:hAnsi="Minion Pro" w:cs="Minion Pro"/>
          <w:color w:val="000000"/>
          <w:sz w:val="24"/>
          <w:szCs w:val="24"/>
        </w:rPr>
      </w:pPr>
      <w:r w:rsidRPr="00A06779">
        <w:rPr>
          <w:rFonts w:ascii="Minion Pro" w:hAnsi="Minion Pro" w:cs="Minion Pro"/>
          <w:color w:val="DA2028"/>
          <w:sz w:val="24"/>
          <w:szCs w:val="24"/>
        </w:rPr>
        <w:t>✴</w:t>
      </w:r>
    </w:p>
    <w:p w:rsidR="009F5223" w:rsidRPr="00A06779" w:rsidRDefault="009F5223" w:rsidP="00A06779">
      <w:pPr>
        <w:spacing w:line="312" w:lineRule="auto"/>
        <w:rPr>
          <w:sz w:val="24"/>
          <w:szCs w:val="24"/>
        </w:rPr>
      </w:pPr>
    </w:p>
    <w:sectPr w:rsidR="009F5223" w:rsidRPr="00A06779" w:rsidSect="00A06779">
      <w:pgSz w:w="12240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endas Plus">
    <w:panose1 w:val="02000503000000020003"/>
    <w:charset w:val="00"/>
    <w:family w:val="modern"/>
    <w:notTrueType/>
    <w:pitch w:val="variable"/>
    <w:sig w:usb0="800000AF" w:usb1="4000204A" w:usb2="00000000" w:usb3="00000000" w:csb0="00000111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79"/>
    <w:rsid w:val="009F5223"/>
    <w:rsid w:val="00A0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ABC47-C1AF-4583-BCF3-9FA710D4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06779"/>
    <w:pPr>
      <w:autoSpaceDE w:val="0"/>
      <w:autoSpaceDN w:val="0"/>
      <w:adjustRightInd w:val="0"/>
      <w:spacing w:before="80" w:after="0" w:line="280" w:lineRule="atLeast"/>
      <w:jc w:val="both"/>
      <w:textAlignment w:val="center"/>
    </w:pPr>
    <w:rPr>
      <w:rFonts w:ascii="Calendas Plus" w:hAnsi="Calendas Plus" w:cs="Calendas Plus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Koscak</dc:creator>
  <cp:keywords/>
  <dc:description/>
  <cp:lastModifiedBy>Tomislav Koscak</cp:lastModifiedBy>
  <cp:revision>1</cp:revision>
  <dcterms:created xsi:type="dcterms:W3CDTF">2016-11-09T14:22:00Z</dcterms:created>
  <dcterms:modified xsi:type="dcterms:W3CDTF">2016-11-09T14:24:00Z</dcterms:modified>
</cp:coreProperties>
</file>